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3D" w:rsidRPr="0001666F" w:rsidRDefault="00EC307B" w:rsidP="00F528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666F">
        <w:rPr>
          <w:rFonts w:ascii="Times New Roman" w:hAnsi="Times New Roman" w:cs="Times New Roman"/>
          <w:b/>
          <w:sz w:val="40"/>
          <w:szCs w:val="40"/>
        </w:rPr>
        <w:t>“</w:t>
      </w:r>
      <w:r w:rsidR="00F90FC2" w:rsidRPr="0001666F">
        <w:rPr>
          <w:rFonts w:ascii="Times New Roman" w:hAnsi="Times New Roman" w:cs="Times New Roman"/>
          <w:b/>
          <w:sz w:val="40"/>
          <w:szCs w:val="40"/>
        </w:rPr>
        <w:t>APPLES-TO-APPLES</w:t>
      </w:r>
      <w:r w:rsidR="006160C0" w:rsidRPr="0001666F">
        <w:rPr>
          <w:rFonts w:ascii="Times New Roman" w:hAnsi="Times New Roman" w:cs="Times New Roman"/>
          <w:b/>
          <w:sz w:val="40"/>
          <w:szCs w:val="40"/>
        </w:rPr>
        <w:t xml:space="preserve">” </w:t>
      </w:r>
      <w:r w:rsidR="0001666F" w:rsidRPr="0001666F">
        <w:rPr>
          <w:rFonts w:ascii="Times New Roman" w:hAnsi="Times New Roman" w:cs="Times New Roman"/>
          <w:b/>
          <w:sz w:val="40"/>
          <w:szCs w:val="40"/>
        </w:rPr>
        <w:t xml:space="preserve">COST </w:t>
      </w:r>
      <w:r w:rsidR="007C4056" w:rsidRPr="0001666F">
        <w:rPr>
          <w:rFonts w:ascii="Times New Roman" w:hAnsi="Times New Roman" w:cs="Times New Roman"/>
          <w:b/>
          <w:sz w:val="40"/>
          <w:szCs w:val="40"/>
        </w:rPr>
        <w:t>COMPARISON</w:t>
      </w:r>
      <w:r w:rsidR="0001666F" w:rsidRPr="0001666F">
        <w:rPr>
          <w:rFonts w:ascii="Times New Roman" w:hAnsi="Times New Roman" w:cs="Times New Roman"/>
          <w:b/>
          <w:sz w:val="40"/>
          <w:szCs w:val="40"/>
        </w:rPr>
        <w:t xml:space="preserve"> FOR ADMITTED STUDENTS </w:t>
      </w:r>
    </w:p>
    <w:p w:rsidR="00804C2D" w:rsidRPr="00804C2D" w:rsidRDefault="00804C2D" w:rsidP="00804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Use each college’s </w:t>
      </w:r>
      <w:r w:rsidR="0001666F">
        <w:rPr>
          <w:rFonts w:ascii="Times New Roman" w:hAnsi="Times New Roman" w:cs="Times New Roman"/>
          <w:b/>
          <w:sz w:val="28"/>
          <w:szCs w:val="28"/>
        </w:rPr>
        <w:t>Financial Aid Offer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to determine its </w:t>
      </w:r>
      <w:r w:rsidRPr="0059284E">
        <w:rPr>
          <w:rFonts w:ascii="Times New Roman" w:hAnsi="Times New Roman" w:cs="Times New Roman"/>
          <w:b/>
          <w:sz w:val="28"/>
          <w:szCs w:val="28"/>
        </w:rPr>
        <w:t>Tuition &amp; Fees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59284E">
        <w:rPr>
          <w:rFonts w:ascii="Times New Roman" w:hAnsi="Times New Roman" w:cs="Times New Roman"/>
          <w:b/>
          <w:sz w:val="28"/>
          <w:szCs w:val="28"/>
        </w:rPr>
        <w:t>Room &amp; Board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, and </w:t>
      </w:r>
      <w:r w:rsidRPr="0059284E">
        <w:rPr>
          <w:rFonts w:ascii="Times New Roman" w:hAnsi="Times New Roman" w:cs="Times New Roman"/>
          <w:b/>
          <w:sz w:val="28"/>
          <w:szCs w:val="28"/>
        </w:rPr>
        <w:t>Total Grants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.  The annual cost of </w:t>
      </w:r>
      <w:r w:rsidRPr="0059284E">
        <w:rPr>
          <w:rFonts w:ascii="Times New Roman" w:hAnsi="Times New Roman" w:cs="Times New Roman"/>
          <w:b/>
          <w:sz w:val="28"/>
          <w:szCs w:val="28"/>
        </w:rPr>
        <w:t>Books &amp; Supplies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 and </w:t>
      </w:r>
      <w:r w:rsidRPr="0059284E">
        <w:rPr>
          <w:rFonts w:ascii="Times New Roman" w:hAnsi="Times New Roman" w:cs="Times New Roman"/>
          <w:b/>
          <w:sz w:val="28"/>
          <w:szCs w:val="28"/>
        </w:rPr>
        <w:t>Personal Expenses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, along with the value of </w:t>
      </w:r>
      <w:r w:rsidRPr="0059284E">
        <w:rPr>
          <w:rFonts w:ascii="Times New Roman" w:hAnsi="Times New Roman" w:cs="Times New Roman"/>
          <w:b/>
          <w:sz w:val="28"/>
          <w:szCs w:val="28"/>
        </w:rPr>
        <w:t>Student Work</w:t>
      </w:r>
      <w:bookmarkStart w:id="0" w:name="_GoBack"/>
      <w:bookmarkEnd w:id="0"/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, are about the same nationwide, so start with my estimates.  For </w:t>
      </w:r>
      <w:r w:rsidRPr="0059284E">
        <w:rPr>
          <w:rFonts w:ascii="Times New Roman" w:hAnsi="Times New Roman" w:cs="Times New Roman"/>
          <w:b/>
          <w:sz w:val="28"/>
          <w:szCs w:val="28"/>
        </w:rPr>
        <w:t>Travel Costs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, assume four one-way air tickets per year.  A high estimate would be $2,000 from coast to coast, $1,500 from the central U.S. to any coast, and $1,250 from north to south.  </w:t>
      </w:r>
      <w:r>
        <w:rPr>
          <w:rFonts w:ascii="Times New Roman" w:hAnsi="Times New Roman" w:cs="Times New Roman"/>
          <w:b/>
          <w:i/>
          <w:sz w:val="28"/>
          <w:szCs w:val="28"/>
        </w:rPr>
        <w:t>Loans really aren’t financial aid, and s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ome colleges are loan free, so keep your comparison valid by not listing loans of any kind in </w:t>
      </w:r>
      <w:r w:rsidRPr="0059284E">
        <w:rPr>
          <w:rFonts w:ascii="Times New Roman" w:hAnsi="Times New Roman" w:cs="Times New Roman"/>
          <w:b/>
          <w:sz w:val="28"/>
          <w:szCs w:val="28"/>
        </w:rPr>
        <w:t>Total Grants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01666F">
        <w:rPr>
          <w:rFonts w:ascii="Times New Roman" w:hAnsi="Times New Roman" w:cs="Times New Roman"/>
          <w:b/>
          <w:i/>
          <w:sz w:val="28"/>
          <w:szCs w:val="28"/>
        </w:rPr>
        <w:t>If you need l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oans to pay the costs at a particular school,  you will find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that 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similar loan programs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are 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 xml:space="preserve">available everywhere.  </w:t>
      </w:r>
      <w:r w:rsidR="0097133D">
        <w:rPr>
          <w:rFonts w:ascii="Times New Roman" w:hAnsi="Times New Roman" w:cs="Times New Roman"/>
          <w:b/>
          <w:i/>
          <w:sz w:val="28"/>
          <w:szCs w:val="28"/>
        </w:rPr>
        <w:t>This form assumes that the family’s EFC is the most support it can provide</w:t>
      </w:r>
      <w:r w:rsidR="0001666F">
        <w:rPr>
          <w:rFonts w:ascii="Times New Roman" w:hAnsi="Times New Roman" w:cs="Times New Roman"/>
          <w:b/>
          <w:i/>
          <w:sz w:val="28"/>
          <w:szCs w:val="28"/>
        </w:rPr>
        <w:t xml:space="preserve"> per year and that any remainder will be borrowed</w:t>
      </w:r>
      <w:r w:rsidRPr="005928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TableGrid"/>
        <w:tblW w:w="15054" w:type="dxa"/>
        <w:jc w:val="center"/>
        <w:tblInd w:w="-1144" w:type="dxa"/>
        <w:tblLook w:val="04A0"/>
      </w:tblPr>
      <w:tblGrid>
        <w:gridCol w:w="2307"/>
        <w:gridCol w:w="990"/>
        <w:gridCol w:w="1170"/>
        <w:gridCol w:w="1170"/>
        <w:gridCol w:w="1170"/>
        <w:gridCol w:w="990"/>
        <w:gridCol w:w="990"/>
        <w:gridCol w:w="2232"/>
        <w:gridCol w:w="942"/>
        <w:gridCol w:w="1017"/>
        <w:gridCol w:w="913"/>
        <w:gridCol w:w="1163"/>
      </w:tblGrid>
      <w:tr w:rsidR="00D101FD" w:rsidTr="00F01D59">
        <w:trPr>
          <w:trHeight w:val="593"/>
          <w:jc w:val="center"/>
        </w:trPr>
        <w:tc>
          <w:tcPr>
            <w:tcW w:w="2307" w:type="dxa"/>
          </w:tcPr>
          <w:p w:rsidR="00D101FD" w:rsidRDefault="00D101FD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1FD" w:rsidRPr="00D471EA" w:rsidRDefault="00D101FD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EA">
              <w:rPr>
                <w:rFonts w:ascii="Times New Roman" w:hAnsi="Times New Roman" w:cs="Times New Roman"/>
                <w:b/>
                <w:sz w:val="24"/>
                <w:szCs w:val="24"/>
              </w:rPr>
              <w:t>College or</w:t>
            </w:r>
          </w:p>
          <w:p w:rsidR="00D101FD" w:rsidRPr="00F5772B" w:rsidRDefault="00D101FD" w:rsidP="00F5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EA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990" w:type="dxa"/>
          </w:tcPr>
          <w:p w:rsidR="00D101FD" w:rsidRDefault="00D101FD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1FD" w:rsidRDefault="00D101FD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Tuition</w:t>
            </w:r>
          </w:p>
          <w:p w:rsidR="00D101FD" w:rsidRPr="00D471EA" w:rsidRDefault="00D101FD" w:rsidP="0043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&amp; Fees</w:t>
            </w:r>
          </w:p>
        </w:tc>
        <w:tc>
          <w:tcPr>
            <w:tcW w:w="1170" w:type="dxa"/>
          </w:tcPr>
          <w:p w:rsidR="00D101FD" w:rsidRPr="00A021D9" w:rsidRDefault="00D101FD" w:rsidP="00D471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:rsidR="00D101FD" w:rsidRDefault="00D101FD" w:rsidP="00D4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Room &amp;</w:t>
            </w:r>
          </w:p>
          <w:p w:rsidR="00D101FD" w:rsidRPr="00D471EA" w:rsidRDefault="00D101FD" w:rsidP="00D4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1170" w:type="dxa"/>
          </w:tcPr>
          <w:p w:rsidR="00D101FD" w:rsidRPr="00A021D9" w:rsidRDefault="00D101FD" w:rsidP="006D3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:rsidR="00D101FD" w:rsidRPr="00D471EA" w:rsidRDefault="00D101FD" w:rsidP="006D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Books &amp; Supplies</w:t>
            </w:r>
          </w:p>
        </w:tc>
        <w:tc>
          <w:tcPr>
            <w:tcW w:w="1170" w:type="dxa"/>
          </w:tcPr>
          <w:p w:rsidR="00D101FD" w:rsidRPr="00A021D9" w:rsidRDefault="00D101FD" w:rsidP="006D3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:rsidR="00D101FD" w:rsidRPr="00D471EA" w:rsidRDefault="00D101FD" w:rsidP="006D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Personal Expenses </w:t>
            </w:r>
          </w:p>
        </w:tc>
        <w:tc>
          <w:tcPr>
            <w:tcW w:w="990" w:type="dxa"/>
          </w:tcPr>
          <w:p w:rsidR="00D101FD" w:rsidRPr="00A021D9" w:rsidRDefault="00D101FD" w:rsidP="006D3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:rsidR="00D101FD" w:rsidRDefault="00D101FD" w:rsidP="006D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Travel Costs</w:t>
            </w:r>
          </w:p>
        </w:tc>
        <w:tc>
          <w:tcPr>
            <w:tcW w:w="990" w:type="dxa"/>
          </w:tcPr>
          <w:p w:rsidR="00D101FD" w:rsidRPr="00A021D9" w:rsidRDefault="00D101FD" w:rsidP="005E2A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Equals</w:t>
            </w:r>
          </w:p>
          <w:p w:rsidR="00D101FD" w:rsidRDefault="00D101FD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D101FD" w:rsidRDefault="00D101FD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Costs</w:t>
            </w:r>
          </w:p>
        </w:tc>
        <w:tc>
          <w:tcPr>
            <w:tcW w:w="2232" w:type="dxa"/>
          </w:tcPr>
          <w:p w:rsidR="00D101FD" w:rsidRPr="00A021D9" w:rsidRDefault="00D101FD" w:rsidP="005E2A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Minus</w:t>
            </w:r>
          </w:p>
          <w:p w:rsidR="00D101FD" w:rsidRDefault="00D101FD" w:rsidP="008F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Grants</w:t>
            </w:r>
          </w:p>
          <w:p w:rsidR="00D101FD" w:rsidRPr="008F6615" w:rsidRDefault="00D101FD" w:rsidP="008F66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(Include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8F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</w:t>
            </w:r>
            <w:r w:rsidRPr="008F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oans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F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942" w:type="dxa"/>
          </w:tcPr>
          <w:p w:rsidR="00D101FD" w:rsidRPr="00A021D9" w:rsidRDefault="00D101FD" w:rsidP="00E32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Equals</w:t>
            </w:r>
          </w:p>
          <w:p w:rsidR="00D101FD" w:rsidRDefault="00D101FD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Unmet</w:t>
            </w:r>
          </w:p>
          <w:p w:rsidR="00D101FD" w:rsidRDefault="00D101FD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Need</w:t>
            </w:r>
          </w:p>
        </w:tc>
        <w:tc>
          <w:tcPr>
            <w:tcW w:w="1017" w:type="dxa"/>
          </w:tcPr>
          <w:p w:rsidR="00D101FD" w:rsidRPr="00A021D9" w:rsidRDefault="00D101FD" w:rsidP="00E32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Minus</w:t>
            </w:r>
          </w:p>
          <w:p w:rsidR="00D101FD" w:rsidRDefault="00D101FD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Work</w:t>
            </w:r>
          </w:p>
        </w:tc>
        <w:tc>
          <w:tcPr>
            <w:tcW w:w="913" w:type="dxa"/>
          </w:tcPr>
          <w:p w:rsidR="00D101FD" w:rsidRDefault="00D101FD" w:rsidP="00E32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And</w:t>
            </w:r>
          </w:p>
          <w:p w:rsidR="00D101FD" w:rsidRPr="00A021D9" w:rsidRDefault="00D101FD" w:rsidP="00E32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Minus</w:t>
            </w:r>
          </w:p>
          <w:p w:rsidR="00D101FD" w:rsidRDefault="00D101FD" w:rsidP="00D1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EFC</w:t>
            </w:r>
          </w:p>
        </w:tc>
        <w:tc>
          <w:tcPr>
            <w:tcW w:w="1163" w:type="dxa"/>
          </w:tcPr>
          <w:p w:rsidR="00D101FD" w:rsidRDefault="00D101FD" w:rsidP="00E32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Equals</w:t>
            </w:r>
          </w:p>
          <w:p w:rsidR="00D101FD" w:rsidRDefault="00D101FD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Expected</w:t>
            </w:r>
          </w:p>
          <w:p w:rsidR="00D101FD" w:rsidRPr="00D101FD" w:rsidRDefault="00D101FD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Loans</w:t>
            </w:r>
          </w:p>
        </w:tc>
      </w:tr>
      <w:tr w:rsidR="00D101FD" w:rsidTr="00F01D59">
        <w:trPr>
          <w:trHeight w:val="805"/>
          <w:jc w:val="center"/>
        </w:trPr>
        <w:tc>
          <w:tcPr>
            <w:tcW w:w="2307" w:type="dxa"/>
          </w:tcPr>
          <w:p w:rsidR="00D101FD" w:rsidRPr="00625EFC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01FD" w:rsidRPr="00D471EA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101FD" w:rsidRPr="00D471EA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101FD" w:rsidRPr="00D471EA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70" w:type="dxa"/>
          </w:tcPr>
          <w:p w:rsidR="00D101FD" w:rsidRPr="00D471EA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90" w:type="dxa"/>
          </w:tcPr>
          <w:p w:rsidR="00D101FD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01FD" w:rsidRPr="00D471EA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101FD" w:rsidRPr="00D471EA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101FD" w:rsidRPr="00D471EA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101FD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913" w:type="dxa"/>
          </w:tcPr>
          <w:p w:rsidR="00D101FD" w:rsidRDefault="00D101FD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1FD" w:rsidRDefault="00D101FD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FD" w:rsidTr="00F01D59">
        <w:trPr>
          <w:trHeight w:val="805"/>
          <w:jc w:val="center"/>
        </w:trPr>
        <w:tc>
          <w:tcPr>
            <w:tcW w:w="2307" w:type="dxa"/>
          </w:tcPr>
          <w:p w:rsidR="00D101FD" w:rsidRPr="003F265E" w:rsidRDefault="00D101FD" w:rsidP="00B9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01FD" w:rsidRPr="003F265E" w:rsidRDefault="00D101FD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101FD" w:rsidRPr="003F265E" w:rsidRDefault="00D101FD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101FD" w:rsidRPr="00D471EA" w:rsidRDefault="00D101FD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70" w:type="dxa"/>
          </w:tcPr>
          <w:p w:rsidR="00D101FD" w:rsidRPr="00D471EA" w:rsidRDefault="00D101FD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90" w:type="dxa"/>
          </w:tcPr>
          <w:p w:rsidR="00D101FD" w:rsidRDefault="00D101FD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01FD" w:rsidRPr="00D471EA" w:rsidRDefault="00D101FD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101FD" w:rsidRPr="00D471EA" w:rsidRDefault="00D101FD" w:rsidP="00F8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101FD" w:rsidRPr="00D471EA" w:rsidRDefault="00D101FD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101FD" w:rsidRDefault="00D101FD" w:rsidP="00B4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913" w:type="dxa"/>
          </w:tcPr>
          <w:p w:rsidR="00D101FD" w:rsidRDefault="00D101FD" w:rsidP="00F8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1FD" w:rsidRDefault="00D101FD" w:rsidP="00F8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FD" w:rsidTr="00F01D59">
        <w:trPr>
          <w:trHeight w:val="805"/>
          <w:jc w:val="center"/>
        </w:trPr>
        <w:tc>
          <w:tcPr>
            <w:tcW w:w="2307" w:type="dxa"/>
          </w:tcPr>
          <w:p w:rsidR="00D101FD" w:rsidRPr="003F265E" w:rsidRDefault="00D101FD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01FD" w:rsidRPr="003F265E" w:rsidRDefault="00D101FD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101FD" w:rsidRPr="003F265E" w:rsidRDefault="00D101FD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101FD" w:rsidRPr="0076036F" w:rsidRDefault="00D101FD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70" w:type="dxa"/>
          </w:tcPr>
          <w:p w:rsidR="00D101FD" w:rsidRPr="0076036F" w:rsidRDefault="00D101FD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90" w:type="dxa"/>
          </w:tcPr>
          <w:p w:rsidR="00D101FD" w:rsidRPr="0076036F" w:rsidRDefault="00D101FD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01FD" w:rsidRPr="0076036F" w:rsidRDefault="00D101FD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101FD" w:rsidRPr="0076036F" w:rsidRDefault="00D101FD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101FD" w:rsidRPr="0076036F" w:rsidRDefault="00D101FD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101FD" w:rsidRPr="0076036F" w:rsidRDefault="00D101FD" w:rsidP="004E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913" w:type="dxa"/>
          </w:tcPr>
          <w:p w:rsidR="00D101FD" w:rsidRPr="0076036F" w:rsidRDefault="00D101FD" w:rsidP="004E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1FD" w:rsidRPr="0076036F" w:rsidRDefault="00D101FD" w:rsidP="004E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FD" w:rsidRPr="0076036F" w:rsidTr="00F01D59">
        <w:trPr>
          <w:trHeight w:val="805"/>
          <w:jc w:val="center"/>
        </w:trPr>
        <w:tc>
          <w:tcPr>
            <w:tcW w:w="2307" w:type="dxa"/>
          </w:tcPr>
          <w:p w:rsidR="00D101FD" w:rsidRPr="003F265E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01FD" w:rsidRPr="003F265E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101FD" w:rsidRPr="003F265E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101FD" w:rsidRPr="0076036F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70" w:type="dxa"/>
          </w:tcPr>
          <w:p w:rsidR="00D101FD" w:rsidRPr="0076036F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90" w:type="dxa"/>
          </w:tcPr>
          <w:p w:rsidR="00D101FD" w:rsidRPr="0076036F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01FD" w:rsidRPr="0076036F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101FD" w:rsidRPr="0076036F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101FD" w:rsidRPr="0076036F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101FD" w:rsidRDefault="00D101FD" w:rsidP="00B4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913" w:type="dxa"/>
          </w:tcPr>
          <w:p w:rsidR="00D101FD" w:rsidRDefault="00D101FD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1FD" w:rsidRDefault="00D101FD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FD" w:rsidRPr="0076036F" w:rsidTr="00F01D59">
        <w:trPr>
          <w:trHeight w:val="805"/>
          <w:jc w:val="center"/>
        </w:trPr>
        <w:tc>
          <w:tcPr>
            <w:tcW w:w="2307" w:type="dxa"/>
          </w:tcPr>
          <w:p w:rsidR="00D101FD" w:rsidRPr="003F265E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01FD" w:rsidRPr="003F265E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101FD" w:rsidRPr="003F265E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101FD" w:rsidRPr="0076036F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70" w:type="dxa"/>
          </w:tcPr>
          <w:p w:rsidR="00D101FD" w:rsidRPr="0076036F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90" w:type="dxa"/>
          </w:tcPr>
          <w:p w:rsidR="00D101FD" w:rsidRPr="0076036F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01FD" w:rsidRPr="0076036F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101FD" w:rsidRPr="0076036F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101FD" w:rsidRPr="0076036F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101FD" w:rsidRPr="0076036F" w:rsidRDefault="00D101FD" w:rsidP="00B4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913" w:type="dxa"/>
          </w:tcPr>
          <w:p w:rsidR="00D101FD" w:rsidRPr="0076036F" w:rsidRDefault="00D101FD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1FD" w:rsidRPr="0076036F" w:rsidRDefault="00D101FD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FD" w:rsidRPr="0076036F" w:rsidTr="00F01D59">
        <w:trPr>
          <w:trHeight w:val="805"/>
          <w:jc w:val="center"/>
        </w:trPr>
        <w:tc>
          <w:tcPr>
            <w:tcW w:w="2307" w:type="dxa"/>
          </w:tcPr>
          <w:p w:rsidR="00D101FD" w:rsidRPr="003F265E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01FD" w:rsidRPr="003F265E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101FD" w:rsidRPr="003F265E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101FD" w:rsidRPr="0076036F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70" w:type="dxa"/>
          </w:tcPr>
          <w:p w:rsidR="00D101FD" w:rsidRPr="0076036F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90" w:type="dxa"/>
          </w:tcPr>
          <w:p w:rsidR="00D101FD" w:rsidRPr="0076036F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01FD" w:rsidRPr="0076036F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101FD" w:rsidRPr="0076036F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101FD" w:rsidRPr="0076036F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101FD" w:rsidRPr="0076036F" w:rsidRDefault="00D101FD" w:rsidP="00B4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913" w:type="dxa"/>
          </w:tcPr>
          <w:p w:rsidR="00D101FD" w:rsidRPr="0076036F" w:rsidRDefault="00D101FD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1FD" w:rsidRPr="0076036F" w:rsidRDefault="00D101FD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FD" w:rsidRPr="0076036F" w:rsidTr="00F01D59">
        <w:trPr>
          <w:trHeight w:val="805"/>
          <w:jc w:val="center"/>
        </w:trPr>
        <w:tc>
          <w:tcPr>
            <w:tcW w:w="2307" w:type="dxa"/>
          </w:tcPr>
          <w:p w:rsidR="00D101FD" w:rsidRPr="003F265E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01FD" w:rsidRPr="003F265E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101FD" w:rsidRPr="003F265E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101FD" w:rsidRPr="0076036F" w:rsidRDefault="00D101FD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70" w:type="dxa"/>
          </w:tcPr>
          <w:p w:rsidR="00D101FD" w:rsidRPr="0076036F" w:rsidRDefault="00D101FD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90" w:type="dxa"/>
          </w:tcPr>
          <w:p w:rsidR="00D101FD" w:rsidRPr="0076036F" w:rsidRDefault="00D101FD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01FD" w:rsidRPr="0076036F" w:rsidRDefault="00D101FD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101FD" w:rsidRPr="0076036F" w:rsidRDefault="00D101FD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101FD" w:rsidRPr="0076036F" w:rsidRDefault="00D101FD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101FD" w:rsidRPr="0076036F" w:rsidRDefault="00D101FD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913" w:type="dxa"/>
          </w:tcPr>
          <w:p w:rsidR="00D101FD" w:rsidRPr="0076036F" w:rsidRDefault="00D101FD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1FD" w:rsidRPr="0076036F" w:rsidRDefault="00D101FD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FD" w:rsidRPr="0076036F" w:rsidTr="00F01D59">
        <w:trPr>
          <w:trHeight w:val="805"/>
          <w:jc w:val="center"/>
        </w:trPr>
        <w:tc>
          <w:tcPr>
            <w:tcW w:w="2307" w:type="dxa"/>
          </w:tcPr>
          <w:p w:rsidR="00D101FD" w:rsidRPr="003F265E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01FD" w:rsidRPr="003F265E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101FD" w:rsidRPr="003F265E" w:rsidRDefault="00D101FD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101FD" w:rsidRPr="0076036F" w:rsidRDefault="00D101FD" w:rsidP="00D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70" w:type="dxa"/>
          </w:tcPr>
          <w:p w:rsidR="00D101FD" w:rsidRPr="0076036F" w:rsidRDefault="00D101FD" w:rsidP="00D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90" w:type="dxa"/>
          </w:tcPr>
          <w:p w:rsidR="00D101FD" w:rsidRPr="0076036F" w:rsidRDefault="00D101FD" w:rsidP="00D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01FD" w:rsidRPr="0076036F" w:rsidRDefault="00D101FD" w:rsidP="00D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101FD" w:rsidRPr="0076036F" w:rsidRDefault="00D101FD" w:rsidP="00D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101FD" w:rsidRPr="0076036F" w:rsidRDefault="00D101FD" w:rsidP="00D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101FD" w:rsidRPr="0076036F" w:rsidRDefault="00D101FD" w:rsidP="00D5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913" w:type="dxa"/>
          </w:tcPr>
          <w:p w:rsidR="00D101FD" w:rsidRPr="0076036F" w:rsidRDefault="00D101FD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1FD" w:rsidRPr="0076036F" w:rsidRDefault="00D101FD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E3D" w:rsidRPr="00665D87" w:rsidRDefault="00F92E02" w:rsidP="005E2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D87">
        <w:rPr>
          <w:rFonts w:ascii="Times New Roman" w:hAnsi="Times New Roman" w:cs="Times New Roman"/>
          <w:b/>
          <w:sz w:val="28"/>
          <w:szCs w:val="28"/>
        </w:rPr>
        <w:t>©201</w:t>
      </w:r>
      <w:r w:rsidR="00804C2D">
        <w:rPr>
          <w:rFonts w:ascii="Times New Roman" w:hAnsi="Times New Roman" w:cs="Times New Roman"/>
          <w:b/>
          <w:sz w:val="28"/>
          <w:szCs w:val="28"/>
        </w:rPr>
        <w:t>6</w:t>
      </w:r>
      <w:r w:rsidRPr="00665D87">
        <w:rPr>
          <w:rFonts w:ascii="Times New Roman" w:hAnsi="Times New Roman" w:cs="Times New Roman"/>
          <w:b/>
          <w:sz w:val="28"/>
          <w:szCs w:val="28"/>
        </w:rPr>
        <w:t xml:space="preserve"> Mark Warns, </w:t>
      </w:r>
      <w:hyperlink r:id="rId4" w:history="1">
        <w:r w:rsidRPr="00665D8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mark@markwarns.com</w:t>
        </w:r>
      </w:hyperlink>
    </w:p>
    <w:sectPr w:rsidR="00033E3D" w:rsidRPr="00665D87" w:rsidSect="00C50D27">
      <w:pgSz w:w="15840" w:h="12240" w:orient="landscape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/>
  <w:rsids>
    <w:rsidRoot w:val="00033E3D"/>
    <w:rsid w:val="000050B1"/>
    <w:rsid w:val="00007D6F"/>
    <w:rsid w:val="0001666F"/>
    <w:rsid w:val="00033E3D"/>
    <w:rsid w:val="00035531"/>
    <w:rsid w:val="00046DFF"/>
    <w:rsid w:val="00051989"/>
    <w:rsid w:val="0006117B"/>
    <w:rsid w:val="00062EC8"/>
    <w:rsid w:val="000A79AF"/>
    <w:rsid w:val="000B3FBA"/>
    <w:rsid w:val="000D4B87"/>
    <w:rsid w:val="000E0288"/>
    <w:rsid w:val="000F58F2"/>
    <w:rsid w:val="000F6991"/>
    <w:rsid w:val="00105941"/>
    <w:rsid w:val="00105F78"/>
    <w:rsid w:val="00123AA9"/>
    <w:rsid w:val="00132DAB"/>
    <w:rsid w:val="001331A4"/>
    <w:rsid w:val="00143EFE"/>
    <w:rsid w:val="001441A8"/>
    <w:rsid w:val="00144FF3"/>
    <w:rsid w:val="00157A5F"/>
    <w:rsid w:val="00195733"/>
    <w:rsid w:val="001974C5"/>
    <w:rsid w:val="001A1624"/>
    <w:rsid w:val="001A6CC5"/>
    <w:rsid w:val="001C31B9"/>
    <w:rsid w:val="001E3E9E"/>
    <w:rsid w:val="001E5560"/>
    <w:rsid w:val="001F36BE"/>
    <w:rsid w:val="001F4ABD"/>
    <w:rsid w:val="002015CF"/>
    <w:rsid w:val="00203446"/>
    <w:rsid w:val="002041A1"/>
    <w:rsid w:val="002061F1"/>
    <w:rsid w:val="0022559F"/>
    <w:rsid w:val="002647DE"/>
    <w:rsid w:val="002660A6"/>
    <w:rsid w:val="002876A9"/>
    <w:rsid w:val="00296575"/>
    <w:rsid w:val="002A59EF"/>
    <w:rsid w:val="002B24E8"/>
    <w:rsid w:val="002C44D6"/>
    <w:rsid w:val="002D5792"/>
    <w:rsid w:val="002F5A79"/>
    <w:rsid w:val="0031163C"/>
    <w:rsid w:val="0032052A"/>
    <w:rsid w:val="00323E98"/>
    <w:rsid w:val="003314C7"/>
    <w:rsid w:val="00331CD0"/>
    <w:rsid w:val="0034262C"/>
    <w:rsid w:val="0034649A"/>
    <w:rsid w:val="00357A06"/>
    <w:rsid w:val="00367509"/>
    <w:rsid w:val="00377792"/>
    <w:rsid w:val="00386B9B"/>
    <w:rsid w:val="00394C87"/>
    <w:rsid w:val="003B23C9"/>
    <w:rsid w:val="003C7179"/>
    <w:rsid w:val="003D372F"/>
    <w:rsid w:val="003E53F6"/>
    <w:rsid w:val="003F168B"/>
    <w:rsid w:val="003F265E"/>
    <w:rsid w:val="00415B59"/>
    <w:rsid w:val="00416B36"/>
    <w:rsid w:val="0042159E"/>
    <w:rsid w:val="00431B60"/>
    <w:rsid w:val="00434320"/>
    <w:rsid w:val="0046607C"/>
    <w:rsid w:val="00475B29"/>
    <w:rsid w:val="0048043B"/>
    <w:rsid w:val="004A32EF"/>
    <w:rsid w:val="004B7125"/>
    <w:rsid w:val="004B7DDA"/>
    <w:rsid w:val="004C1D5C"/>
    <w:rsid w:val="004C4FB3"/>
    <w:rsid w:val="004E2776"/>
    <w:rsid w:val="004E3AE2"/>
    <w:rsid w:val="00501108"/>
    <w:rsid w:val="00506DDD"/>
    <w:rsid w:val="005102CD"/>
    <w:rsid w:val="005177E7"/>
    <w:rsid w:val="00542368"/>
    <w:rsid w:val="00563F0F"/>
    <w:rsid w:val="0059284E"/>
    <w:rsid w:val="005933E8"/>
    <w:rsid w:val="00595944"/>
    <w:rsid w:val="005E0880"/>
    <w:rsid w:val="005E2A94"/>
    <w:rsid w:val="005E4D0C"/>
    <w:rsid w:val="005F768A"/>
    <w:rsid w:val="00605CCA"/>
    <w:rsid w:val="006160C0"/>
    <w:rsid w:val="00625EFC"/>
    <w:rsid w:val="0065167F"/>
    <w:rsid w:val="00657CA8"/>
    <w:rsid w:val="00665D87"/>
    <w:rsid w:val="00672A70"/>
    <w:rsid w:val="006768A0"/>
    <w:rsid w:val="006936B2"/>
    <w:rsid w:val="006B6266"/>
    <w:rsid w:val="006D0703"/>
    <w:rsid w:val="006D39DB"/>
    <w:rsid w:val="00702C61"/>
    <w:rsid w:val="00722966"/>
    <w:rsid w:val="0076036F"/>
    <w:rsid w:val="0076104C"/>
    <w:rsid w:val="00777DB3"/>
    <w:rsid w:val="007A115E"/>
    <w:rsid w:val="007A5B94"/>
    <w:rsid w:val="007B7553"/>
    <w:rsid w:val="007C4056"/>
    <w:rsid w:val="007D6898"/>
    <w:rsid w:val="007F70D4"/>
    <w:rsid w:val="0080326F"/>
    <w:rsid w:val="0080385B"/>
    <w:rsid w:val="00804C2D"/>
    <w:rsid w:val="008142B5"/>
    <w:rsid w:val="00820AD2"/>
    <w:rsid w:val="00823716"/>
    <w:rsid w:val="008265F7"/>
    <w:rsid w:val="00840CAC"/>
    <w:rsid w:val="00856149"/>
    <w:rsid w:val="00865985"/>
    <w:rsid w:val="00866D5E"/>
    <w:rsid w:val="008963DA"/>
    <w:rsid w:val="008B4F59"/>
    <w:rsid w:val="008E0396"/>
    <w:rsid w:val="008E1E87"/>
    <w:rsid w:val="008F53B7"/>
    <w:rsid w:val="008F6615"/>
    <w:rsid w:val="00905589"/>
    <w:rsid w:val="009272AA"/>
    <w:rsid w:val="00942BE1"/>
    <w:rsid w:val="009457EA"/>
    <w:rsid w:val="0095528B"/>
    <w:rsid w:val="0097133D"/>
    <w:rsid w:val="009877B2"/>
    <w:rsid w:val="0099145E"/>
    <w:rsid w:val="00997B44"/>
    <w:rsid w:val="009B688F"/>
    <w:rsid w:val="009C74EC"/>
    <w:rsid w:val="009D26EB"/>
    <w:rsid w:val="009D7A30"/>
    <w:rsid w:val="009E0EC2"/>
    <w:rsid w:val="00A021D9"/>
    <w:rsid w:val="00A03ABE"/>
    <w:rsid w:val="00A067D6"/>
    <w:rsid w:val="00A27BAC"/>
    <w:rsid w:val="00A3019C"/>
    <w:rsid w:val="00A60C01"/>
    <w:rsid w:val="00A62904"/>
    <w:rsid w:val="00A65A1E"/>
    <w:rsid w:val="00A84A79"/>
    <w:rsid w:val="00AD0F75"/>
    <w:rsid w:val="00AE1497"/>
    <w:rsid w:val="00AE4E65"/>
    <w:rsid w:val="00AF0630"/>
    <w:rsid w:val="00AF4017"/>
    <w:rsid w:val="00AF5E78"/>
    <w:rsid w:val="00B02DAB"/>
    <w:rsid w:val="00B12C52"/>
    <w:rsid w:val="00B13F52"/>
    <w:rsid w:val="00B20C04"/>
    <w:rsid w:val="00B21974"/>
    <w:rsid w:val="00B22D1D"/>
    <w:rsid w:val="00B23E08"/>
    <w:rsid w:val="00B3182B"/>
    <w:rsid w:val="00B34354"/>
    <w:rsid w:val="00B4206A"/>
    <w:rsid w:val="00B43F48"/>
    <w:rsid w:val="00B47E0E"/>
    <w:rsid w:val="00B63EF0"/>
    <w:rsid w:val="00B85A57"/>
    <w:rsid w:val="00B966E1"/>
    <w:rsid w:val="00BA0F10"/>
    <w:rsid w:val="00BA2351"/>
    <w:rsid w:val="00BB484C"/>
    <w:rsid w:val="00BE0BDB"/>
    <w:rsid w:val="00BF0B35"/>
    <w:rsid w:val="00BF46C6"/>
    <w:rsid w:val="00C164A3"/>
    <w:rsid w:val="00C171D1"/>
    <w:rsid w:val="00C242D5"/>
    <w:rsid w:val="00C27B11"/>
    <w:rsid w:val="00C50D27"/>
    <w:rsid w:val="00C8117A"/>
    <w:rsid w:val="00CA6E04"/>
    <w:rsid w:val="00CB7033"/>
    <w:rsid w:val="00CC61C5"/>
    <w:rsid w:val="00CC655A"/>
    <w:rsid w:val="00CC7206"/>
    <w:rsid w:val="00CC7C34"/>
    <w:rsid w:val="00CF1C47"/>
    <w:rsid w:val="00CF7FE5"/>
    <w:rsid w:val="00D0063D"/>
    <w:rsid w:val="00D04FB7"/>
    <w:rsid w:val="00D101FD"/>
    <w:rsid w:val="00D14647"/>
    <w:rsid w:val="00D263B9"/>
    <w:rsid w:val="00D36FC7"/>
    <w:rsid w:val="00D471EA"/>
    <w:rsid w:val="00D51F0B"/>
    <w:rsid w:val="00D55E26"/>
    <w:rsid w:val="00D6764B"/>
    <w:rsid w:val="00D86A3A"/>
    <w:rsid w:val="00D92CB4"/>
    <w:rsid w:val="00DB0C44"/>
    <w:rsid w:val="00DC1A55"/>
    <w:rsid w:val="00DC4F7E"/>
    <w:rsid w:val="00DD20BA"/>
    <w:rsid w:val="00DD69F0"/>
    <w:rsid w:val="00DE02FD"/>
    <w:rsid w:val="00E043E5"/>
    <w:rsid w:val="00E277B4"/>
    <w:rsid w:val="00E32733"/>
    <w:rsid w:val="00E32E3D"/>
    <w:rsid w:val="00E33094"/>
    <w:rsid w:val="00E402CB"/>
    <w:rsid w:val="00E52B7A"/>
    <w:rsid w:val="00E64B19"/>
    <w:rsid w:val="00E75E36"/>
    <w:rsid w:val="00E861F3"/>
    <w:rsid w:val="00EA5363"/>
    <w:rsid w:val="00EC307B"/>
    <w:rsid w:val="00EC694A"/>
    <w:rsid w:val="00F01D59"/>
    <w:rsid w:val="00F1192B"/>
    <w:rsid w:val="00F160D0"/>
    <w:rsid w:val="00F16930"/>
    <w:rsid w:val="00F25986"/>
    <w:rsid w:val="00F25A8B"/>
    <w:rsid w:val="00F41E0B"/>
    <w:rsid w:val="00F52819"/>
    <w:rsid w:val="00F555A8"/>
    <w:rsid w:val="00F5772B"/>
    <w:rsid w:val="00F64B6D"/>
    <w:rsid w:val="00F64D1E"/>
    <w:rsid w:val="00F756AD"/>
    <w:rsid w:val="00F81B1C"/>
    <w:rsid w:val="00F90DC6"/>
    <w:rsid w:val="00F90FC2"/>
    <w:rsid w:val="00F92E02"/>
    <w:rsid w:val="00F932FC"/>
    <w:rsid w:val="00FA4488"/>
    <w:rsid w:val="00FB3134"/>
    <w:rsid w:val="00FC3256"/>
    <w:rsid w:val="00FC7CD1"/>
    <w:rsid w:val="00FD382B"/>
    <w:rsid w:val="00FD71F0"/>
    <w:rsid w:val="00FE2517"/>
    <w:rsid w:val="00FF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0B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2534">
                  <w:marLeft w:val="0"/>
                  <w:marRight w:val="0"/>
                  <w:marTop w:val="0"/>
                  <w:marBottom w:val="0"/>
                  <w:divBdr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divBdr>
                  <w:divsChild>
                    <w:div w:id="1411389790">
                      <w:marLeft w:val="187"/>
                      <w:marRight w:val="374"/>
                      <w:marTop w:val="1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00538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5331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5100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8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60735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5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@markwar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Warns</dc:creator>
  <cp:lastModifiedBy>Mark Warns</cp:lastModifiedBy>
  <cp:revision>2</cp:revision>
  <cp:lastPrinted>2021-03-11T20:24:00Z</cp:lastPrinted>
  <dcterms:created xsi:type="dcterms:W3CDTF">2021-03-11T20:25:00Z</dcterms:created>
  <dcterms:modified xsi:type="dcterms:W3CDTF">2021-03-11T20:25:00Z</dcterms:modified>
</cp:coreProperties>
</file>